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F2" w:rsidRPr="00B30D54" w:rsidRDefault="00DB162C" w:rsidP="00927BF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51F2">
        <w:t xml:space="preserve"> </w:t>
      </w:r>
    </w:p>
    <w:p w:rsidR="00780715" w:rsidRDefault="006D27CE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D4313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>реализации образовательных программ. В непредвиденных ситуациях (увольнении сотрудника, длительная болезнь и др.) состав комиссии в течени</w:t>
      </w:r>
      <w:proofErr w:type="gramStart"/>
      <w:r w:rsidRPr="006D27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27CE">
        <w:rPr>
          <w:rFonts w:ascii="Times New Roman" w:hAnsi="Times New Roman" w:cs="Times New Roman"/>
          <w:sz w:val="28"/>
          <w:szCs w:val="28"/>
        </w:rPr>
        <w:t xml:space="preserve"> срока ее полномочий может меняться, что закрепляется приказом директора ДЮСШ. </w:t>
      </w:r>
    </w:p>
    <w:p w:rsidR="005D4313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 xml:space="preserve">4. Приемная комиссия обеспечивает функционирование телефонной линии и раздела сайта ДЮСШ для ответов на обращения, связанные с приемом детей в ДЮСШ. </w:t>
      </w:r>
    </w:p>
    <w:p w:rsidR="005D4313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 xml:space="preserve">5. Приемная комиссия работает по утвержденному графику, принимая заявления от родителей (законных представителей) (Приложение №1), необходимые документы и формируя личное дело поступающего. </w:t>
      </w:r>
    </w:p>
    <w:p w:rsidR="005D4313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 xml:space="preserve">6. Секретарь комиссии ведет протоколы индивидуального отбора, которые хранятся в архиве ДЮСШ в течение всего срока хранения личного дела. </w:t>
      </w:r>
    </w:p>
    <w:p w:rsidR="00812FD1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 xml:space="preserve">7. Результаты объявляются не позднее чем через три рабочих дня после его проведения. </w:t>
      </w:r>
    </w:p>
    <w:p w:rsidR="00812FD1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 xml:space="preserve">8. Объявление указанных результатов осуществляется путем размещения </w:t>
      </w:r>
      <w:proofErr w:type="spellStart"/>
      <w:r w:rsidRPr="006D27CE">
        <w:rPr>
          <w:rFonts w:ascii="Times New Roman" w:hAnsi="Times New Roman" w:cs="Times New Roman"/>
          <w:sz w:val="28"/>
          <w:szCs w:val="28"/>
        </w:rPr>
        <w:t>пофамильного</w:t>
      </w:r>
      <w:proofErr w:type="spellEnd"/>
      <w:r w:rsidRPr="006D27CE">
        <w:rPr>
          <w:rFonts w:ascii="Times New Roman" w:hAnsi="Times New Roman" w:cs="Times New Roman"/>
          <w:sz w:val="28"/>
          <w:szCs w:val="28"/>
        </w:rPr>
        <w:t xml:space="preserve"> списка — рейтинга с указанием системе оценок, применяемой в данном виде спорта, и самих оценок (отметок, баллов, показателей в единицах измерения), полученных каждым поступающих по итогам индивидуального отбора. </w:t>
      </w:r>
    </w:p>
    <w:p w:rsidR="00812FD1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 xml:space="preserve">9. Данные результаты размещаются на информационном стенде и на официальном сайте ДЮСШ с учетом соблюдения законодательства Российской Федерации в области персональных данных. </w:t>
      </w:r>
    </w:p>
    <w:p w:rsidR="00812FD1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6D27CE">
        <w:rPr>
          <w:rFonts w:ascii="Times New Roman" w:hAnsi="Times New Roman" w:cs="Times New Roman"/>
          <w:sz w:val="28"/>
          <w:szCs w:val="28"/>
        </w:rPr>
        <w:t xml:space="preserve">По материалам, представленным комиссией по отбору детей, формируется список поступающих, являющийся основанием для приказа о зачислении. </w:t>
      </w:r>
      <w:proofErr w:type="gramEnd"/>
    </w:p>
    <w:p w:rsidR="00812FD1" w:rsidRPr="00812FD1" w:rsidRDefault="00033B68" w:rsidP="00812F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D1">
        <w:rPr>
          <w:rFonts w:ascii="Times New Roman" w:hAnsi="Times New Roman" w:cs="Times New Roman"/>
          <w:b/>
          <w:sz w:val="28"/>
          <w:szCs w:val="28"/>
        </w:rPr>
        <w:t>Апелляционная комиссия</w:t>
      </w:r>
    </w:p>
    <w:p w:rsidR="00812FD1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 xml:space="preserve">1. Апелляционная комиссия создается для рассмотрения заявлений родителей (законных представителей), не согласных с процедурой и (или) результатами проведения индивидуального отбора (Приложение №2) </w:t>
      </w:r>
    </w:p>
    <w:p w:rsidR="00812FD1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 xml:space="preserve">2. Председателем апелляционной комиссии является директор ДЮСШ (в случае, если он не является председателем приемной комиссии) или лицо, им уполномоченное. Состав апелляционной комиссии (не </w:t>
      </w:r>
      <w:proofErr w:type="gramStart"/>
      <w:r w:rsidRPr="006D27CE">
        <w:rPr>
          <w:rFonts w:ascii="Times New Roman" w:hAnsi="Times New Roman" w:cs="Times New Roman"/>
          <w:sz w:val="28"/>
          <w:szCs w:val="28"/>
        </w:rPr>
        <w:t>менее трех человек) формируется</w:t>
      </w:r>
      <w:proofErr w:type="gramEnd"/>
      <w:r w:rsidRPr="006D27CE">
        <w:rPr>
          <w:rFonts w:ascii="Times New Roman" w:hAnsi="Times New Roman" w:cs="Times New Roman"/>
          <w:sz w:val="28"/>
          <w:szCs w:val="28"/>
        </w:rPr>
        <w:t xml:space="preserve"> из числа тренерско-преподавательского состава, других педагогических и медицинских работников спортивной школы, участвующих в реализации образовательных программ, и не входящих в состав приемной комиссии. </w:t>
      </w:r>
    </w:p>
    <w:p w:rsidR="00812FD1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 xml:space="preserve">3. При организации приема поступающих директор ДЮСШ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апелляционной комиссии, объективность оценки способностей и склонностей поступающих. </w:t>
      </w:r>
    </w:p>
    <w:p w:rsidR="00812FD1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 xml:space="preserve">4. Законные представители поступающих вправе подать апелляцию по процедуре и (или) по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 </w:t>
      </w:r>
    </w:p>
    <w:p w:rsidR="00812FD1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lastRenderedPageBreak/>
        <w:t xml:space="preserve">5. Апелляция рассматривается не позднее одного рабочего дня со дня ее подачи на заседание апелляционной комиссии, на которое приглашаются законные представители </w:t>
      </w:r>
      <w:proofErr w:type="gramStart"/>
      <w:r w:rsidRPr="006D27CE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6D27CE">
        <w:rPr>
          <w:rFonts w:ascii="Times New Roman" w:hAnsi="Times New Roman" w:cs="Times New Roman"/>
          <w:sz w:val="28"/>
          <w:szCs w:val="28"/>
        </w:rPr>
        <w:t xml:space="preserve">, подавшие апелляцию. 6. 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 </w:t>
      </w:r>
    </w:p>
    <w:p w:rsidR="00812FD1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 xml:space="preserve">7. Апелляционная комиссия принимает решение о целесообразности или нецелесообразности повторного проведения индивидуального отбора в отношении, поступающего, законные представители которого подали апелляцию. Данное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 </w:t>
      </w:r>
    </w:p>
    <w:p w:rsidR="00812FD1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>8. 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</w:t>
      </w:r>
      <w:proofErr w:type="gramStart"/>
      <w:r w:rsidRPr="006D27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27CE">
        <w:rPr>
          <w:rFonts w:ascii="Times New Roman" w:hAnsi="Times New Roman" w:cs="Times New Roman"/>
          <w:sz w:val="28"/>
          <w:szCs w:val="28"/>
        </w:rPr>
        <w:t xml:space="preserve"> одного рабочего дня с момента принятия решения, после чего передается в приемную комиссию. </w:t>
      </w:r>
    </w:p>
    <w:p w:rsidR="00033B68" w:rsidRDefault="00033B68" w:rsidP="006D27C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7CE">
        <w:rPr>
          <w:rFonts w:ascii="Times New Roman" w:hAnsi="Times New Roman" w:cs="Times New Roman"/>
          <w:sz w:val="28"/>
          <w:szCs w:val="28"/>
        </w:rPr>
        <w:t>9. Повторное проведение индивидуального отбора поступающих проводится в течени</w:t>
      </w:r>
      <w:proofErr w:type="gramStart"/>
      <w:r w:rsidRPr="006D27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27CE">
        <w:rPr>
          <w:rFonts w:ascii="Times New Roman" w:hAnsi="Times New Roman" w:cs="Times New Roman"/>
          <w:sz w:val="28"/>
          <w:szCs w:val="28"/>
        </w:rPr>
        <w:t xml:space="preserve"> трех рабочих дней со дня принятия решения о целесообразности такого отбора в присутствии не менее двух членов апелляционной комиссии. 10. Подача апелляции по процедуре проведения повторного индивидуального отбора </w:t>
      </w:r>
      <w:proofErr w:type="gramStart"/>
      <w:r w:rsidRPr="006D27CE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6D27CE">
        <w:rPr>
          <w:rFonts w:ascii="Times New Roman" w:hAnsi="Times New Roman" w:cs="Times New Roman"/>
          <w:sz w:val="28"/>
          <w:szCs w:val="28"/>
        </w:rPr>
        <w:t xml:space="preserve"> не допускается. При наличии мест, оставшихся вакантными после зачисления по результатам индивидуального отбора поступающих, учредитель может предоставлять право проводить дополнительный прием поступающих. Зачисление на вакантные места проводится по результатам дополнительного индивидуального отбора.</w:t>
      </w: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Default="00812FD1" w:rsidP="006D2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FD1" w:rsidRPr="006D27CE" w:rsidRDefault="00812FD1" w:rsidP="006D27CE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ED5546" w:rsidRDefault="00ED5546" w:rsidP="00ED5546">
      <w:pPr>
        <w:pStyle w:val="1"/>
        <w:spacing w:before="161" w:after="1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Приказ Министерства спорта РФ от 12 сентября 2013 г. N 731 "Об утверждении Порядка приема на обучение по дополнительным </w:t>
      </w:r>
      <w:proofErr w:type="spellStart"/>
      <w:r>
        <w:rPr>
          <w:rFonts w:ascii="Arial" w:hAnsi="Arial" w:cs="Arial"/>
          <w:color w:val="000000"/>
        </w:rPr>
        <w:t>предпрофессиональным</w:t>
      </w:r>
      <w:proofErr w:type="spellEnd"/>
      <w:r>
        <w:rPr>
          <w:rFonts w:ascii="Arial" w:hAnsi="Arial" w:cs="Arial"/>
          <w:color w:val="000000"/>
        </w:rPr>
        <w:t xml:space="preserve"> программам в области физической культуры и спорта"</w:t>
      </w:r>
    </w:p>
    <w:p w:rsidR="00ED5546" w:rsidRDefault="00ED5546" w:rsidP="00ED5546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D5546" w:rsidRDefault="00EC1EED" w:rsidP="00ED5546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6" w:anchor="text" w:history="1">
        <w:r w:rsidR="00ED5546">
          <w:rPr>
            <w:rStyle w:val="a6"/>
            <w:rFonts w:ascii="Arial" w:hAnsi="Arial" w:cs="Arial"/>
            <w:b/>
            <w:bCs/>
            <w:color w:val="3272C0"/>
            <w:sz w:val="18"/>
            <w:szCs w:val="18"/>
          </w:rPr>
          <w:t xml:space="preserve">Приказ Министерства спорта РФ от 12 сентября 2013 г. N 731 "Об утверждении Порядка приема на обучение по дополнительным </w:t>
        </w:r>
        <w:proofErr w:type="spellStart"/>
        <w:r w:rsidR="00ED5546">
          <w:rPr>
            <w:rStyle w:val="a6"/>
            <w:rFonts w:ascii="Arial" w:hAnsi="Arial" w:cs="Arial"/>
            <w:b/>
            <w:bCs/>
            <w:color w:val="3272C0"/>
            <w:sz w:val="18"/>
            <w:szCs w:val="18"/>
          </w:rPr>
          <w:t>предпрофессиональным</w:t>
        </w:r>
        <w:proofErr w:type="spellEnd"/>
        <w:r w:rsidR="00ED5546">
          <w:rPr>
            <w:rStyle w:val="a6"/>
            <w:rFonts w:ascii="Arial" w:hAnsi="Arial" w:cs="Arial"/>
            <w:b/>
            <w:bCs/>
            <w:color w:val="3272C0"/>
            <w:sz w:val="18"/>
            <w:szCs w:val="18"/>
          </w:rPr>
          <w:t xml:space="preserve"> программам в области физической культуры и спорта"</w:t>
        </w:r>
      </w:hyperlink>
    </w:p>
    <w:p w:rsidR="00ED5546" w:rsidRDefault="00ED5546" w:rsidP="00ED5546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57150" cy="76200"/>
            <wp:effectExtent l="19050" t="0" r="0" b="0"/>
            <wp:docPr id="1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hyperlink r:id="rId8" w:anchor="block_1000" w:history="1">
        <w:r>
          <w:rPr>
            <w:rStyle w:val="a6"/>
            <w:rFonts w:ascii="Arial" w:hAnsi="Arial" w:cs="Arial"/>
            <w:b/>
            <w:bCs/>
            <w:color w:val="3272C0"/>
            <w:sz w:val="18"/>
            <w:szCs w:val="18"/>
          </w:rPr>
          <w:t xml:space="preserve">Порядок приема на обучение по дополнительным </w:t>
        </w:r>
        <w:proofErr w:type="spellStart"/>
        <w:r>
          <w:rPr>
            <w:rStyle w:val="a6"/>
            <w:rFonts w:ascii="Arial" w:hAnsi="Arial" w:cs="Arial"/>
            <w:b/>
            <w:bCs/>
            <w:color w:val="3272C0"/>
            <w:sz w:val="18"/>
            <w:szCs w:val="18"/>
          </w:rPr>
          <w:t>предпрофессиональным</w:t>
        </w:r>
        <w:proofErr w:type="spellEnd"/>
        <w:r>
          <w:rPr>
            <w:rStyle w:val="a6"/>
            <w:rFonts w:ascii="Arial" w:hAnsi="Arial" w:cs="Arial"/>
            <w:b/>
            <w:bCs/>
            <w:color w:val="3272C0"/>
            <w:sz w:val="18"/>
            <w:szCs w:val="18"/>
          </w:rPr>
          <w:t xml:space="preserve"> программам в области физической культуры и спорта</w:t>
        </w:r>
      </w:hyperlink>
    </w:p>
    <w:p w:rsidR="00ED5546" w:rsidRDefault="00EC1EED" w:rsidP="00ED5546">
      <w:pPr>
        <w:numPr>
          <w:ilvl w:val="1"/>
          <w:numId w:val="4"/>
        </w:numPr>
        <w:spacing w:after="0"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9" w:anchor="block_100" w:history="1">
        <w:r w:rsidR="00ED5546">
          <w:rPr>
            <w:rStyle w:val="a6"/>
            <w:rFonts w:ascii="Arial" w:hAnsi="Arial" w:cs="Arial"/>
            <w:b/>
            <w:bCs/>
            <w:color w:val="3272C0"/>
            <w:sz w:val="18"/>
            <w:szCs w:val="18"/>
          </w:rPr>
          <w:t>I. Общие положения (п.п. 1 - 9)</w:t>
        </w:r>
      </w:hyperlink>
    </w:p>
    <w:p w:rsidR="00ED5546" w:rsidRDefault="00EC1EED" w:rsidP="00ED5546">
      <w:pPr>
        <w:numPr>
          <w:ilvl w:val="1"/>
          <w:numId w:val="4"/>
        </w:numPr>
        <w:spacing w:after="0"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10" w:anchor="block_200" w:history="1">
        <w:r w:rsidR="00ED5546">
          <w:rPr>
            <w:rStyle w:val="a6"/>
            <w:rFonts w:ascii="Arial" w:hAnsi="Arial" w:cs="Arial"/>
            <w:b/>
            <w:bCs/>
            <w:color w:val="3272C0"/>
            <w:sz w:val="18"/>
            <w:szCs w:val="18"/>
          </w:rPr>
          <w:t xml:space="preserve">II. Организация приема </w:t>
        </w:r>
        <w:proofErr w:type="gramStart"/>
        <w:r w:rsidR="00ED5546">
          <w:rPr>
            <w:rStyle w:val="a6"/>
            <w:rFonts w:ascii="Arial" w:hAnsi="Arial" w:cs="Arial"/>
            <w:b/>
            <w:bCs/>
            <w:color w:val="3272C0"/>
            <w:sz w:val="18"/>
            <w:szCs w:val="18"/>
          </w:rPr>
          <w:t>поступающих</w:t>
        </w:r>
        <w:proofErr w:type="gramEnd"/>
        <w:r w:rsidR="00ED5546">
          <w:rPr>
            <w:rStyle w:val="a6"/>
            <w:rFonts w:ascii="Arial" w:hAnsi="Arial" w:cs="Arial"/>
            <w:b/>
            <w:bCs/>
            <w:color w:val="3272C0"/>
            <w:sz w:val="18"/>
            <w:szCs w:val="18"/>
          </w:rPr>
          <w:t xml:space="preserve"> (п.п. 10 - 13)</w:t>
        </w:r>
      </w:hyperlink>
    </w:p>
    <w:p w:rsidR="00ED5546" w:rsidRDefault="00EC1EED" w:rsidP="00ED5546">
      <w:pPr>
        <w:numPr>
          <w:ilvl w:val="1"/>
          <w:numId w:val="4"/>
        </w:numPr>
        <w:spacing w:after="0"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11" w:anchor="block_300" w:history="1">
        <w:r w:rsidR="00ED5546">
          <w:rPr>
            <w:rStyle w:val="a6"/>
            <w:rFonts w:ascii="Arial" w:hAnsi="Arial" w:cs="Arial"/>
            <w:b/>
            <w:bCs/>
            <w:color w:val="3272C0"/>
            <w:sz w:val="18"/>
            <w:szCs w:val="18"/>
          </w:rPr>
          <w:t xml:space="preserve">III. Организация проведения индивидуального отбора </w:t>
        </w:r>
        <w:proofErr w:type="gramStart"/>
        <w:r w:rsidR="00ED5546">
          <w:rPr>
            <w:rStyle w:val="a6"/>
            <w:rFonts w:ascii="Arial" w:hAnsi="Arial" w:cs="Arial"/>
            <w:b/>
            <w:bCs/>
            <w:color w:val="3272C0"/>
            <w:sz w:val="18"/>
            <w:szCs w:val="18"/>
          </w:rPr>
          <w:t>поступающих</w:t>
        </w:r>
        <w:proofErr w:type="gramEnd"/>
        <w:r w:rsidR="00ED5546">
          <w:rPr>
            <w:rStyle w:val="a6"/>
            <w:rFonts w:ascii="Arial" w:hAnsi="Arial" w:cs="Arial"/>
            <w:b/>
            <w:bCs/>
            <w:color w:val="3272C0"/>
            <w:sz w:val="18"/>
            <w:szCs w:val="18"/>
          </w:rPr>
          <w:t xml:space="preserve"> (п.п. 14 - 18)</w:t>
        </w:r>
      </w:hyperlink>
    </w:p>
    <w:p w:rsidR="00ED5546" w:rsidRDefault="00EC1EED" w:rsidP="00ED5546">
      <w:pPr>
        <w:numPr>
          <w:ilvl w:val="1"/>
          <w:numId w:val="4"/>
        </w:numPr>
        <w:spacing w:after="0"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12" w:anchor="block_400" w:history="1">
        <w:r w:rsidR="00ED5546">
          <w:rPr>
            <w:rStyle w:val="a6"/>
            <w:rFonts w:ascii="Arial" w:hAnsi="Arial" w:cs="Arial"/>
            <w:b/>
            <w:bCs/>
            <w:color w:val="3272C0"/>
            <w:sz w:val="18"/>
            <w:szCs w:val="18"/>
          </w:rPr>
          <w:t xml:space="preserve">IV. Подача и рассмотрение апелляции. Повторное проведение отбора </w:t>
        </w:r>
        <w:proofErr w:type="gramStart"/>
        <w:r w:rsidR="00ED5546">
          <w:rPr>
            <w:rStyle w:val="a6"/>
            <w:rFonts w:ascii="Arial" w:hAnsi="Arial" w:cs="Arial"/>
            <w:b/>
            <w:bCs/>
            <w:color w:val="3272C0"/>
            <w:sz w:val="18"/>
            <w:szCs w:val="18"/>
          </w:rPr>
          <w:t>поступающих</w:t>
        </w:r>
        <w:proofErr w:type="gramEnd"/>
        <w:r w:rsidR="00ED5546">
          <w:rPr>
            <w:rStyle w:val="a6"/>
            <w:rFonts w:ascii="Arial" w:hAnsi="Arial" w:cs="Arial"/>
            <w:b/>
            <w:bCs/>
            <w:color w:val="3272C0"/>
            <w:sz w:val="18"/>
            <w:szCs w:val="18"/>
          </w:rPr>
          <w:t xml:space="preserve"> (п.п. 19 - 22)</w:t>
        </w:r>
      </w:hyperlink>
    </w:p>
    <w:p w:rsidR="00ED5546" w:rsidRDefault="00EC1EED" w:rsidP="00ED5546">
      <w:pPr>
        <w:numPr>
          <w:ilvl w:val="1"/>
          <w:numId w:val="4"/>
        </w:numPr>
        <w:spacing w:after="0"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13" w:anchor="block_500" w:history="1">
        <w:r w:rsidR="00ED5546">
          <w:rPr>
            <w:rStyle w:val="a6"/>
            <w:rFonts w:ascii="Arial" w:hAnsi="Arial" w:cs="Arial"/>
            <w:b/>
            <w:bCs/>
            <w:color w:val="3272C0"/>
            <w:sz w:val="18"/>
            <w:szCs w:val="18"/>
          </w:rPr>
          <w:t xml:space="preserve">V. Порядок зачисления и дополнительный прием </w:t>
        </w:r>
        <w:proofErr w:type="gramStart"/>
        <w:r w:rsidR="00ED5546">
          <w:rPr>
            <w:rStyle w:val="a6"/>
            <w:rFonts w:ascii="Arial" w:hAnsi="Arial" w:cs="Arial"/>
            <w:b/>
            <w:bCs/>
            <w:color w:val="3272C0"/>
            <w:sz w:val="18"/>
            <w:szCs w:val="18"/>
          </w:rPr>
          <w:t>поступающих</w:t>
        </w:r>
        <w:proofErr w:type="gramEnd"/>
        <w:r w:rsidR="00ED5546">
          <w:rPr>
            <w:rStyle w:val="a6"/>
            <w:rFonts w:ascii="Arial" w:hAnsi="Arial" w:cs="Arial"/>
            <w:b/>
            <w:bCs/>
            <w:color w:val="3272C0"/>
            <w:sz w:val="18"/>
            <w:szCs w:val="18"/>
          </w:rPr>
          <w:t xml:space="preserve"> в образовательную организацию (п.п. 23 - 26)</w:t>
        </w:r>
      </w:hyperlink>
    </w:p>
    <w:p w:rsidR="00ED5546" w:rsidRDefault="00ED5546" w:rsidP="00ED5546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text"/>
      <w:bookmarkEnd w:id="0"/>
      <w:r>
        <w:rPr>
          <w:rFonts w:ascii="Arial" w:hAnsi="Arial" w:cs="Arial"/>
          <w:b/>
          <w:bCs/>
          <w:color w:val="000000"/>
          <w:sz w:val="18"/>
          <w:szCs w:val="18"/>
        </w:rPr>
        <w:t>Приказ Министерства спорта РФ от 12 сентября 2013 г. N 731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 xml:space="preserve">"Об утверждении Порядка приема на обучение по дополнительным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предпрофессиональным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программам в области физической культуры и спорта"</w:t>
      </w:r>
    </w:p>
    <w:p w:rsidR="00ED5546" w:rsidRDefault="00ED5546" w:rsidP="00ED5546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 соответствии с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hyperlink r:id="rId14" w:anchor="block_108996" w:history="1">
        <w:r>
          <w:rPr>
            <w:rStyle w:val="a6"/>
            <w:rFonts w:ascii="Arial" w:hAnsi="Arial" w:cs="Arial"/>
            <w:b/>
            <w:bCs/>
            <w:color w:val="3272C0"/>
            <w:sz w:val="18"/>
            <w:szCs w:val="18"/>
          </w:rPr>
          <w:t>частью 5 статьи 84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30, ст. 4036) приказываю: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1. Утвердить по согласованию с Министерством образования и науки Российской Федерации прилагаемый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hyperlink r:id="rId15" w:anchor="block_1000" w:history="1">
        <w:r>
          <w:rPr>
            <w:rStyle w:val="a6"/>
            <w:rFonts w:ascii="Arial" w:hAnsi="Arial" w:cs="Arial"/>
            <w:b/>
            <w:bCs/>
            <w:color w:val="3272C0"/>
            <w:sz w:val="18"/>
            <w:szCs w:val="18"/>
          </w:rPr>
          <w:t>Порядок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приема на обучение по дополнительным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предпрофессиональным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программам в области физической культуры и спорта.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2. Контроль за исполнением настоящего приказа возложить на заместителя Министра спорта Российской Федерации Ю.Д. 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Нагорных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ED5546" w:rsidRDefault="00ED5546" w:rsidP="00ED5546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ED5546" w:rsidTr="00ED5546">
        <w:tc>
          <w:tcPr>
            <w:tcW w:w="3300" w:type="pct"/>
            <w:vAlign w:val="bottom"/>
            <w:hideMark/>
          </w:tcPr>
          <w:p w:rsidR="00ED5546" w:rsidRDefault="00ED5546">
            <w:pPr>
              <w:pStyle w:val="s16"/>
              <w:spacing w:before="0" w:beforeAutospacing="0" w:after="0" w:afterAutospacing="0"/>
            </w:pPr>
            <w: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ED5546" w:rsidRDefault="00ED5546">
            <w:pPr>
              <w:pStyle w:val="s1"/>
              <w:spacing w:before="0" w:beforeAutospacing="0" w:after="0" w:afterAutospacing="0"/>
              <w:jc w:val="right"/>
            </w:pPr>
            <w:r>
              <w:t>В. </w:t>
            </w:r>
            <w:proofErr w:type="spellStart"/>
            <w:r>
              <w:t>Мутко</w:t>
            </w:r>
            <w:proofErr w:type="spellEnd"/>
          </w:p>
        </w:tc>
      </w:tr>
    </w:tbl>
    <w:p w:rsidR="00ED5546" w:rsidRDefault="00ED5546" w:rsidP="00ED5546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ED5546" w:rsidRDefault="00ED5546" w:rsidP="00ED5546">
      <w:pPr>
        <w:pStyle w:val="s16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Зарегистрировано в Минюсте РФ 2 декабря 2013 г.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Регистрационный N 30531</w:t>
      </w:r>
    </w:p>
    <w:p w:rsidR="00ED5546" w:rsidRDefault="00ED5546" w:rsidP="00ED5546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D5546" w:rsidRDefault="00ED5546" w:rsidP="00ED5546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Порядок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 xml:space="preserve">приема на обучение по дополнительным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предпрофессиональным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программам в области физической культуры и спорта</w:t>
      </w:r>
    </w:p>
    <w:p w:rsidR="00ED5546" w:rsidRDefault="00ED5546" w:rsidP="00ED5546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I. Общие положения</w:t>
      </w:r>
    </w:p>
    <w:p w:rsidR="00ED5546" w:rsidRDefault="00ED5546" w:rsidP="00ED5546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Настоящий Порядок приема на обучение по дополнительным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предпрофессиональным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программам в области физической культуры и спорта (далее - Порядок) регламентирует прием граждан на обучение по дополнительным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предпрофессиональным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программам в области физической культуры и спорта (далее - образовательные программы)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 (далее - поступающих), за счет средств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соответствующего бюджета, по договорам с оплатой стоимости обучения с юридическими и (или) физическими лицами.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2. Образовательная организация объявляет прием граждан на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обучение по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образовательным программам при наличии лицензии на осуществление образовательной деятельности.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3. При приеме граждан на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обучение по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образовательной программе требования к уровню их образования не предъявляются.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4. 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Для проведения индивидуального отбора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поступающих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образовательная организация проводит тестирование, а также вправе проводить предварительные просмотры, анкетирование, консультации в порядке, установленном образовательной организацией.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5. В целях организации приема и проведения индивидуального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отбора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поступающих в образовательной организации создаются приемная и апелляционная комиссии.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Регламенты работы комиссий определяются локальным нормативным актом образовательной организации. Составы комиссий утверждаются распорядительным актом образовательной организации.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5.1. Председателем приемной комиссии является руководитель образовательной организации или лицо, им уполномоченное.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Состав приемной комиссии (не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менее пяти человек) формируется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5.2. Председателем апелляционной комиссии является руководитель образовательной организации (в случае, если он не является председателем приемной комиссии) или лицо, им уполномоченное.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Состав апелляционной комиссии (не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менее трех человек) формируется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программ, и не входящих в состав приемной комиссии.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6.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При организаций приема поступающих руководитель образовательной организации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  <w:proofErr w:type="gramEnd"/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7. Не позднее, чем за месяц до начала приема документов, образовательная организация на своем информационном стенде и официальном сайте в информационно-телекоммуникационной сети "Интернет" размещает следующую информацию и документы с целью ознакомления с ними поступающих и их законных представителей: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копию устава образовательной организации;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копию лицензии на осуществление образовательной деятельности (с приложениями);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 (при их наличии);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условия работы приемной и апелляционной комиссий образовательной организации;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количество бюджетных мест в соответствующем году по образовательным программам (этапам, периодам обучения) и программам спортивной подготовки (при наличии), а также количество вакантных мест для приема поступающих (при наличии);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сроки приема документов для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обучения по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образовательным программам в соответствующем году;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сроки проведения индивидуального отбора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поступающих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в соответствующем году;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формы отбора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поступающих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и его содержание по каждой образовательной программе;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требования, предъявляемые к физическим (двигательным) способностям и к психологическим особенностям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поступающих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;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условия и особенности проведения индивидуального отбора для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поступающих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с ограниченными возможностями здоровья;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сроки зачисления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поступающих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в образовательную организацию.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8. Количество поступающих на бюджетной основе для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обучения по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образовательным программам определяется учредителем образовательной организации в соответствии с государственным (муниципальным) заданием на оказание государственных (муниципальных) услуг.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Образовательная организация вправе осуществлять прием поступающих сверх установленного государственного (муниципального) задания на оказание государственных (муниципальных) услуг на обучение на платной основе.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 xml:space="preserve">Сведения о порядке оказания платных образовательных услуг, в том числе информация о стоимости обучения по каждой образовательной программе, размещается образовательной организацией на своем информационном стенде и официальном сайте в информационно-телекоммуникационной сети "Интернет" в целях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ознакомления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с ними поступающих и их законных представителей.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9. Приемная комиссия образовательной организации обеспечивает функционирование специальных телефонных линий, а также раздела сайта образовательной организации 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ED5546" w:rsidRDefault="00ED5546" w:rsidP="00ED5546">
      <w:pPr>
        <w:rPr>
          <w:rFonts w:ascii="Times New Roman" w:hAnsi="Times New Roman"/>
          <w:sz w:val="24"/>
          <w:szCs w:val="24"/>
        </w:rPr>
      </w:pPr>
    </w:p>
    <w:p w:rsidR="00ED5546" w:rsidRDefault="00ED5546" w:rsidP="00ED5546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II. Организация приема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поступающих</w:t>
      </w:r>
      <w:proofErr w:type="gramEnd"/>
    </w:p>
    <w:p w:rsidR="00ED5546" w:rsidRDefault="00ED5546" w:rsidP="00ED5546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10. Организация приема и зачисления поступающих, а также их индивидуальный отбор, осуществляются приемной комиссией образовательной организации.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Образовательная организация самостоятельно устанавливает сроки приема документов в соответствующем году, но не позднее, чем за месяц до проведения индивидуального отбора поступающих.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11. Прием в образовательные организации на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обучение по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образовательным программам осуществляется по письменному заявлению поступающих, достигших 14-летнего возраста или законных представителей поступающих.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Заявления о приеме могут быть поданы одновременно в несколько образовательных организаций.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В заявлении о приеме в образовательную организацию указываются следующие сведения: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наименование образовательной программы, на которую планируется поступление;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фамилия, имя и отчество (при наличии)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поступающего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;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дата рождения поступающего;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фамилия, имя и отчество (при наличии) законных представителей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поступающего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;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номера телефонов законных представителей поступающего (при наличии);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адрес места регистрации и (или) фактического места жительства поступающего.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 заявлении фиксируются факт ознакомления законных представителей с уставом образовательной организац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ии и ее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локальными нормативными актами, а также согласие на проведение процедуры индивидуального отбора поступающего.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12. При подаче заявления представляются следующие документы: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копия свидетельства о рождении поступающего;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фотографии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поступающего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(в количестве и формате, установленном образовательной организацией).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13. 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Личные дела поступающих хранятся в образовательной организации не менее трех месяцев с начала объявления приема в образовательную организацию.</w:t>
      </w:r>
    </w:p>
    <w:p w:rsidR="00ED5546" w:rsidRDefault="00ED5546" w:rsidP="00ED5546">
      <w:pPr>
        <w:rPr>
          <w:rFonts w:ascii="Times New Roman" w:hAnsi="Times New Roman"/>
          <w:sz w:val="24"/>
          <w:szCs w:val="24"/>
        </w:rPr>
      </w:pPr>
    </w:p>
    <w:p w:rsidR="00ED5546" w:rsidRDefault="00ED5546" w:rsidP="00ED5546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III. Организация проведения индивидуального отбора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поступающих</w:t>
      </w:r>
      <w:proofErr w:type="gramEnd"/>
    </w:p>
    <w:p w:rsidR="00ED5546" w:rsidRDefault="00ED5546" w:rsidP="00ED5546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14. Индивидуальный отбор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поступающих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в образовательную организацию проводит приемная комиссия.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Образовательная организация самостоятельно устанавливает сроки проведения индивидуального отбора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поступающих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в соответствующем году, утверждаемые распорядительным актом образовательной организации.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15. Индивидуальный отбор поступающих проводится в формах, предусмотренных образовательной организацией,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hyperlink r:id="rId16" w:history="1">
        <w:r>
          <w:rPr>
            <w:rStyle w:val="a6"/>
            <w:rFonts w:ascii="Arial" w:hAnsi="Arial" w:cs="Arial"/>
            <w:b/>
            <w:bCs/>
            <w:color w:val="3272C0"/>
            <w:sz w:val="18"/>
            <w:szCs w:val="18"/>
          </w:rPr>
          <w:t>федеральных стандартов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спортивной подготовки.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16. Во время проведения индивидуального отбора поступающих присутствие посторонних лиц допускается только с разрешения руководителя образовательной организации.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17. Результаты индивидуального отбора объявляются не позднее, чем через три рабочих дня после его проведения.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Объявление указанных результатов осуществляется путем размещения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пофамильного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списка-рейтинга с указанием системы оценок, применяемой в образовательной организации,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  <w:t>Данные результаты размещаются на информационном стенде и на официальном сайте образовательной организации 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18. Образовательной организацией предусматривается проведение дополнительного отбора для лиц, не участвовавших в первоначальном индивидуальном отборе в установленные образовательной организации сроки по уважительной причине, в пределах общего срока проведения индивидуального отбора поступающих.</w:t>
      </w:r>
    </w:p>
    <w:p w:rsidR="00ED5546" w:rsidRDefault="00ED5546" w:rsidP="00ED5546">
      <w:pPr>
        <w:rPr>
          <w:rFonts w:ascii="Times New Roman" w:hAnsi="Times New Roman"/>
          <w:sz w:val="24"/>
          <w:szCs w:val="24"/>
        </w:rPr>
      </w:pPr>
    </w:p>
    <w:p w:rsidR="00ED5546" w:rsidRDefault="00ED5546" w:rsidP="00ED5546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IV. Подача и рассмотрение апелляции. Повторное проведение отбора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поступающих</w:t>
      </w:r>
      <w:proofErr w:type="gramEnd"/>
    </w:p>
    <w:p w:rsidR="00ED5546" w:rsidRDefault="00ED5546" w:rsidP="00ED5546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19.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поступающих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, подавшие апелляцию.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20. 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отношении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поступающего, законные представители которого подали апелляцию.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  <w:t xml:space="preserve"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</w:t>
      </w: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течение одного рабочего дня с момента принятия решения, после чего передается в приемную комиссию.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21.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22. Подача апелляции по процедуре проведения повторного индивидуального отбора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поступающих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не допускается.</w:t>
      </w:r>
    </w:p>
    <w:p w:rsidR="00ED5546" w:rsidRDefault="00ED5546" w:rsidP="00ED5546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D5546" w:rsidRDefault="00ED5546" w:rsidP="00ED5546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V. Порядок зачисления и дополнительный прием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поступающих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в образовательную организацию</w:t>
      </w:r>
    </w:p>
    <w:p w:rsidR="00ED5546" w:rsidRDefault="00ED5546" w:rsidP="00ED5546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23. Зачисление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поступающих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в образовательную организацию на обучение по образовательным программам оформляется распорядительным актом образовательной организации на основании решения приемной комиссии или апелляционной комиссии в сроки, установленные образовательной организацией.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24. При наличии мест, оставшихся вакантными после зачисления по результатам индивидуального отбора поступающих, учредитель может предоставить образовательной организации право проводить дополнительный прием поступающих.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Зачисление на вакантные места проводится по результатам дополнительного индивидуального отбора.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25. Организация дополнительного приема и зачисления осуществляется в соответствии с локальными нормативными актами образовательной организации, при этом сроки дополнительного приема поступающих публикуются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ED5546" w:rsidRDefault="00ED5546" w:rsidP="00ED5546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26. Дополнительный индивидуальный отбор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поступающих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осуществляется в сроки, установленные образовательной организацией, в порядке, установленном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hyperlink r:id="rId17" w:anchor="block_300" w:history="1">
        <w:r>
          <w:rPr>
            <w:rStyle w:val="a6"/>
            <w:rFonts w:ascii="Arial" w:hAnsi="Arial" w:cs="Arial"/>
            <w:b/>
            <w:bCs/>
            <w:color w:val="3272C0"/>
            <w:sz w:val="18"/>
            <w:szCs w:val="18"/>
          </w:rPr>
          <w:t>главой III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настоящего Порядка.</w:t>
      </w:r>
    </w:p>
    <w:p w:rsidR="00DB162C" w:rsidRPr="001251F2" w:rsidRDefault="00ED5546" w:rsidP="00ED5546"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DB162C" w:rsidRPr="001251F2" w:rsidSect="00EA4F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17D7"/>
    <w:multiLevelType w:val="multilevel"/>
    <w:tmpl w:val="9110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74ACC"/>
    <w:multiLevelType w:val="hybridMultilevel"/>
    <w:tmpl w:val="E270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835BB"/>
    <w:multiLevelType w:val="multilevel"/>
    <w:tmpl w:val="D5E0A4E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3AA32FF"/>
    <w:multiLevelType w:val="singleLevel"/>
    <w:tmpl w:val="7D547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0CA"/>
    <w:rsid w:val="00033B68"/>
    <w:rsid w:val="0007497B"/>
    <w:rsid w:val="00081FF4"/>
    <w:rsid w:val="00083937"/>
    <w:rsid w:val="000C6FE4"/>
    <w:rsid w:val="001251F2"/>
    <w:rsid w:val="00151CB9"/>
    <w:rsid w:val="001678FA"/>
    <w:rsid w:val="00181737"/>
    <w:rsid w:val="001A05AD"/>
    <w:rsid w:val="001F2548"/>
    <w:rsid w:val="002E24A8"/>
    <w:rsid w:val="003C2A35"/>
    <w:rsid w:val="0040789E"/>
    <w:rsid w:val="00443F34"/>
    <w:rsid w:val="00445C9E"/>
    <w:rsid w:val="00495637"/>
    <w:rsid w:val="004B1B9B"/>
    <w:rsid w:val="00517AF8"/>
    <w:rsid w:val="005D4313"/>
    <w:rsid w:val="00600F18"/>
    <w:rsid w:val="00655F5B"/>
    <w:rsid w:val="006844E7"/>
    <w:rsid w:val="006D27CE"/>
    <w:rsid w:val="006E236F"/>
    <w:rsid w:val="00727B70"/>
    <w:rsid w:val="00736C3D"/>
    <w:rsid w:val="00780715"/>
    <w:rsid w:val="00781C51"/>
    <w:rsid w:val="00782DC3"/>
    <w:rsid w:val="007920CA"/>
    <w:rsid w:val="00812FD1"/>
    <w:rsid w:val="008D36F1"/>
    <w:rsid w:val="00927BFB"/>
    <w:rsid w:val="0097219A"/>
    <w:rsid w:val="00997595"/>
    <w:rsid w:val="009E7F8E"/>
    <w:rsid w:val="009F504D"/>
    <w:rsid w:val="009F7274"/>
    <w:rsid w:val="00A236F3"/>
    <w:rsid w:val="00A64223"/>
    <w:rsid w:val="00AB1421"/>
    <w:rsid w:val="00AF1400"/>
    <w:rsid w:val="00B073C3"/>
    <w:rsid w:val="00B52377"/>
    <w:rsid w:val="00B843B2"/>
    <w:rsid w:val="00C07E9F"/>
    <w:rsid w:val="00C15A79"/>
    <w:rsid w:val="00C54013"/>
    <w:rsid w:val="00CC15CD"/>
    <w:rsid w:val="00CE7DD8"/>
    <w:rsid w:val="00D22CA3"/>
    <w:rsid w:val="00D41CCE"/>
    <w:rsid w:val="00D55E6B"/>
    <w:rsid w:val="00D95340"/>
    <w:rsid w:val="00DB162C"/>
    <w:rsid w:val="00DD4640"/>
    <w:rsid w:val="00DD7724"/>
    <w:rsid w:val="00EA4F51"/>
    <w:rsid w:val="00EC1EED"/>
    <w:rsid w:val="00ED5546"/>
    <w:rsid w:val="00FD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F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7F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6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237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1F2548"/>
  </w:style>
  <w:style w:type="character" w:customStyle="1" w:styleId="a060617dregion">
    <w:name w:val="a060617d__region"/>
    <w:basedOn w:val="a0"/>
    <w:rsid w:val="001678FA"/>
  </w:style>
  <w:style w:type="paragraph" w:styleId="a5">
    <w:name w:val="No Spacing"/>
    <w:uiPriority w:val="1"/>
    <w:qFormat/>
    <w:rsid w:val="00C5401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E7F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E7F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7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lain0">
    <w:name w:val="Plain_0"/>
    <w:basedOn w:val="a"/>
    <w:rsid w:val="00727B70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s1">
    <w:name w:val="s_1"/>
    <w:basedOn w:val="a"/>
    <w:rsid w:val="00ED5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ED5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ED5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D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2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26900/" TargetMode="External"/><Relationship Id="rId13" Type="http://schemas.openxmlformats.org/officeDocument/2006/relationships/hyperlink" Target="http://base.garant.ru/7052690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base.garant.ru/70526900/" TargetMode="External"/><Relationship Id="rId17" Type="http://schemas.openxmlformats.org/officeDocument/2006/relationships/hyperlink" Target="http://base.garant.ru/705269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5741330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526900/" TargetMode="External"/><Relationship Id="rId11" Type="http://schemas.openxmlformats.org/officeDocument/2006/relationships/hyperlink" Target="http://base.garant.ru/705269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526900/" TargetMode="External"/><Relationship Id="rId10" Type="http://schemas.openxmlformats.org/officeDocument/2006/relationships/hyperlink" Target="http://base.garant.ru/7052690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526900/" TargetMode="External"/><Relationship Id="rId14" Type="http://schemas.openxmlformats.org/officeDocument/2006/relationships/hyperlink" Target="http://base.garant.ru/70291362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24C83-B7C9-4618-982F-15037772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2017-09-03T10:16:00Z</cp:lastPrinted>
  <dcterms:created xsi:type="dcterms:W3CDTF">2017-09-03T09:48:00Z</dcterms:created>
  <dcterms:modified xsi:type="dcterms:W3CDTF">2017-09-05T17:31:00Z</dcterms:modified>
</cp:coreProperties>
</file>